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DC43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0EEDCD8F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53F3AAE9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45F07CD1" w14:textId="77777777" w:rsidR="00485630" w:rsidRPr="00CD14B5" w:rsidRDefault="00485630" w:rsidP="00485630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proofErr w:type="spellStart"/>
      <w:r w:rsidRPr="00CD14B5">
        <w:rPr>
          <w:sz w:val="26"/>
          <w:szCs w:val="26"/>
        </w:rPr>
        <w:t>П.п</w:t>
      </w:r>
      <w:proofErr w:type="spellEnd"/>
      <w:r w:rsidRPr="00CD14B5">
        <w:rPr>
          <w:sz w:val="26"/>
          <w:szCs w:val="26"/>
        </w:rPr>
        <w:t>.</w:t>
      </w:r>
    </w:p>
    <w:p w14:paraId="35F14567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04005457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1BB051DE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56417755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288BCEDF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168C166F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17455680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</w:pPr>
      <w:r>
        <w:rPr>
          <w:b/>
          <w:sz w:val="26"/>
          <w:szCs w:val="26"/>
        </w:rPr>
        <w:t>СОГЛАСОВАНО:</w:t>
      </w:r>
    </w:p>
    <w:p w14:paraId="5A142C7D" w14:textId="77777777" w:rsidR="00485630" w:rsidRDefault="00485630" w:rsidP="00485630">
      <w:pPr>
        <w:tabs>
          <w:tab w:val="left" w:pos="3402"/>
          <w:tab w:val="left" w:pos="6804"/>
          <w:tab w:val="left" w:pos="7371"/>
          <w:tab w:val="left" w:pos="9071"/>
        </w:tabs>
        <w:ind w:right="-1"/>
        <w:jc w:val="both"/>
        <w:rPr>
          <w:sz w:val="26"/>
          <w:szCs w:val="26"/>
        </w:rPr>
      </w:pPr>
    </w:p>
    <w:p w14:paraId="52FB95E5" w14:textId="77777777" w:rsidR="00485630" w:rsidRDefault="00485630" w:rsidP="00485630">
      <w:pPr>
        <w:rPr>
          <w:sz w:val="26"/>
          <w:szCs w:val="20"/>
        </w:rPr>
      </w:pPr>
      <w:r>
        <w:rPr>
          <w:sz w:val="26"/>
          <w:szCs w:val="20"/>
        </w:rPr>
        <w:t xml:space="preserve">Заместитель главы Администрации города </w:t>
      </w:r>
    </w:p>
    <w:p w14:paraId="18B24DE8" w14:textId="77777777" w:rsidR="00485630" w:rsidRDefault="00485630" w:rsidP="00485630">
      <w:pPr>
        <w:rPr>
          <w:sz w:val="26"/>
          <w:szCs w:val="20"/>
        </w:rPr>
      </w:pPr>
      <w:r>
        <w:rPr>
          <w:sz w:val="26"/>
          <w:szCs w:val="20"/>
        </w:rPr>
        <w:t xml:space="preserve">по вопросам городского хозяйства                                         </w:t>
      </w:r>
      <w:r>
        <w:rPr>
          <w:sz w:val="26"/>
          <w:szCs w:val="20"/>
        </w:rPr>
        <w:tab/>
        <w:t xml:space="preserve">                   И.В. </w:t>
      </w:r>
      <w:proofErr w:type="spellStart"/>
      <w:r>
        <w:rPr>
          <w:sz w:val="26"/>
          <w:szCs w:val="20"/>
        </w:rPr>
        <w:t>Раудуве</w:t>
      </w:r>
      <w:proofErr w:type="spellEnd"/>
    </w:p>
    <w:p w14:paraId="0B637D59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02CC7E6D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начальника </w:t>
      </w:r>
    </w:p>
    <w:p w14:paraId="7A1ACCD3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</w:pPr>
      <w:r>
        <w:rPr>
          <w:sz w:val="26"/>
          <w:szCs w:val="26"/>
        </w:rPr>
        <w:t>управления финансов</w:t>
      </w:r>
    </w:p>
    <w:p w14:paraId="7130A174" w14:textId="77777777" w:rsidR="00485630" w:rsidRDefault="00485630" w:rsidP="00485630">
      <w:pPr>
        <w:tabs>
          <w:tab w:val="left" w:pos="3402"/>
          <w:tab w:val="left" w:pos="7404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  <w:t xml:space="preserve">                                                                      Д.П. </w:t>
      </w:r>
      <w:proofErr w:type="spellStart"/>
      <w:r>
        <w:rPr>
          <w:sz w:val="26"/>
          <w:szCs w:val="26"/>
        </w:rPr>
        <w:t>Лемешенко</w:t>
      </w:r>
      <w:proofErr w:type="spellEnd"/>
    </w:p>
    <w:p w14:paraId="71AED826" w14:textId="77777777" w:rsidR="00485630" w:rsidRDefault="00485630" w:rsidP="00485630">
      <w:pPr>
        <w:tabs>
          <w:tab w:val="left" w:pos="3402"/>
          <w:tab w:val="left" w:pos="7404"/>
        </w:tabs>
        <w:ind w:right="-1"/>
        <w:jc w:val="both"/>
        <w:rPr>
          <w:sz w:val="26"/>
          <w:szCs w:val="26"/>
        </w:rPr>
      </w:pPr>
    </w:p>
    <w:p w14:paraId="5BA71121" w14:textId="77777777" w:rsidR="00485630" w:rsidRDefault="00485630" w:rsidP="00485630">
      <w:pPr>
        <w:tabs>
          <w:tab w:val="left" w:pos="3402"/>
          <w:tab w:val="left" w:pos="6804"/>
          <w:tab w:val="left" w:pos="9071"/>
        </w:tabs>
        <w:ind w:right="-1"/>
        <w:jc w:val="both"/>
      </w:pPr>
      <w:r>
        <w:rPr>
          <w:sz w:val="26"/>
          <w:szCs w:val="26"/>
        </w:rPr>
        <w:t>Начальник Правового управления</w:t>
      </w:r>
    </w:p>
    <w:p w14:paraId="33490B69" w14:textId="77777777" w:rsidR="00485630" w:rsidRDefault="00485630" w:rsidP="00485630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                                                                               С.А. </w:t>
      </w:r>
      <w:proofErr w:type="spellStart"/>
      <w:r>
        <w:rPr>
          <w:sz w:val="26"/>
          <w:szCs w:val="26"/>
        </w:rPr>
        <w:t>Помещикова</w:t>
      </w:r>
      <w:proofErr w:type="spellEnd"/>
    </w:p>
    <w:p w14:paraId="14478E9E" w14:textId="77777777" w:rsidR="00485630" w:rsidRDefault="00485630" w:rsidP="00485630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</w:p>
    <w:p w14:paraId="18370437" w14:textId="77777777" w:rsidR="00485630" w:rsidRDefault="00485630" w:rsidP="00485630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экономики и </w:t>
      </w:r>
    </w:p>
    <w:p w14:paraId="11A96A08" w14:textId="77777777" w:rsidR="00485630" w:rsidRDefault="00485630" w:rsidP="00485630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инновационного развития</w:t>
      </w:r>
    </w:p>
    <w:p w14:paraId="2B55634A" w14:textId="77777777" w:rsidR="00485630" w:rsidRDefault="00485630" w:rsidP="00485630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                                                                                        Н.Ф. Кочура</w:t>
      </w:r>
    </w:p>
    <w:p w14:paraId="05CED212" w14:textId="77777777" w:rsidR="00485630" w:rsidRDefault="00485630" w:rsidP="00485630">
      <w:pPr>
        <w:tabs>
          <w:tab w:val="left" w:pos="3402"/>
          <w:tab w:val="left" w:pos="6804"/>
          <w:tab w:val="left" w:pos="9071"/>
        </w:tabs>
        <w:ind w:right="-1"/>
        <w:jc w:val="both"/>
      </w:pPr>
    </w:p>
    <w:p w14:paraId="6A5DBB40" w14:textId="77777777" w:rsidR="00485630" w:rsidRDefault="00485630" w:rsidP="00485630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28E587BA" w14:textId="77777777" w:rsidR="00485630" w:rsidRDefault="00485630" w:rsidP="00485630">
      <w:pPr>
        <w:keepNext/>
        <w:tabs>
          <w:tab w:val="left" w:pos="3402"/>
          <w:tab w:val="left" w:pos="9071"/>
        </w:tabs>
        <w:ind w:right="-1"/>
        <w:jc w:val="both"/>
        <w:rPr>
          <w:b/>
          <w:sz w:val="26"/>
          <w:szCs w:val="20"/>
        </w:rPr>
      </w:pPr>
    </w:p>
    <w:p w14:paraId="0894BF9E" w14:textId="77777777" w:rsidR="00485630" w:rsidRDefault="00485630" w:rsidP="00485630">
      <w:pPr>
        <w:keepNext/>
        <w:tabs>
          <w:tab w:val="left" w:pos="3402"/>
          <w:tab w:val="left" w:pos="9071"/>
        </w:tabs>
        <w:ind w:right="-1"/>
        <w:jc w:val="both"/>
        <w:rPr>
          <w:b/>
          <w:sz w:val="26"/>
          <w:szCs w:val="20"/>
        </w:rPr>
      </w:pPr>
    </w:p>
    <w:p w14:paraId="4D87CA18" w14:textId="77777777" w:rsidR="00485630" w:rsidRDefault="00485630" w:rsidP="00485630">
      <w:pPr>
        <w:keepNext/>
        <w:tabs>
          <w:tab w:val="left" w:pos="3402"/>
          <w:tab w:val="left" w:pos="9071"/>
        </w:tabs>
        <w:ind w:right="-1"/>
        <w:jc w:val="both"/>
        <w:rPr>
          <w:b/>
          <w:sz w:val="26"/>
          <w:szCs w:val="20"/>
        </w:rPr>
      </w:pPr>
    </w:p>
    <w:p w14:paraId="6D60CF4F" w14:textId="77777777" w:rsidR="00485630" w:rsidRDefault="00485630" w:rsidP="00485630">
      <w:pPr>
        <w:keepNext/>
        <w:tabs>
          <w:tab w:val="left" w:pos="3402"/>
          <w:tab w:val="left" w:pos="9071"/>
        </w:tabs>
        <w:ind w:right="-1"/>
        <w:jc w:val="both"/>
        <w:rPr>
          <w:b/>
          <w:szCs w:val="20"/>
        </w:rPr>
      </w:pPr>
    </w:p>
    <w:p w14:paraId="35FE0CAD" w14:textId="77777777" w:rsidR="00485630" w:rsidRDefault="00485630" w:rsidP="00485630">
      <w:pPr>
        <w:keepNext/>
        <w:tabs>
          <w:tab w:val="left" w:pos="3402"/>
          <w:tab w:val="left" w:pos="9071"/>
        </w:tabs>
        <w:ind w:right="-1"/>
        <w:jc w:val="both"/>
        <w:rPr>
          <w:b/>
          <w:szCs w:val="20"/>
        </w:rPr>
      </w:pPr>
    </w:p>
    <w:p w14:paraId="6E390FCD" w14:textId="77777777" w:rsidR="00485630" w:rsidRDefault="00485630" w:rsidP="00485630">
      <w:pPr>
        <w:keepNext/>
        <w:tabs>
          <w:tab w:val="left" w:pos="3402"/>
          <w:tab w:val="left" w:pos="9071"/>
        </w:tabs>
        <w:ind w:right="-1"/>
        <w:jc w:val="both"/>
        <w:rPr>
          <w:b/>
          <w:szCs w:val="20"/>
        </w:rPr>
      </w:pPr>
    </w:p>
    <w:p w14:paraId="1E202C34" w14:textId="77777777" w:rsidR="00485630" w:rsidRDefault="00485630" w:rsidP="00485630">
      <w:pPr>
        <w:rPr>
          <w:b/>
          <w:sz w:val="26"/>
          <w:szCs w:val="20"/>
        </w:rPr>
      </w:pPr>
    </w:p>
    <w:p w14:paraId="534C7CC3" w14:textId="77777777" w:rsidR="00485630" w:rsidRDefault="00485630" w:rsidP="00485630">
      <w:pPr>
        <w:rPr>
          <w:b/>
          <w:sz w:val="26"/>
          <w:szCs w:val="20"/>
        </w:rPr>
      </w:pPr>
    </w:p>
    <w:p w14:paraId="385B35AF" w14:textId="77777777" w:rsidR="00485630" w:rsidRDefault="00485630" w:rsidP="00485630">
      <w:pPr>
        <w:rPr>
          <w:b/>
          <w:sz w:val="26"/>
          <w:szCs w:val="20"/>
        </w:rPr>
      </w:pPr>
    </w:p>
    <w:p w14:paraId="1E27432F" w14:textId="77777777" w:rsidR="00485630" w:rsidRDefault="00485630" w:rsidP="00485630">
      <w:pPr>
        <w:rPr>
          <w:b/>
          <w:sz w:val="26"/>
          <w:szCs w:val="20"/>
        </w:rPr>
      </w:pPr>
    </w:p>
    <w:p w14:paraId="634915EC" w14:textId="77777777" w:rsidR="00485630" w:rsidRDefault="00485630" w:rsidP="00485630">
      <w:pPr>
        <w:rPr>
          <w:b/>
          <w:sz w:val="26"/>
          <w:szCs w:val="20"/>
        </w:rPr>
      </w:pPr>
    </w:p>
    <w:p w14:paraId="05DAF340" w14:textId="77777777" w:rsidR="00485630" w:rsidRDefault="00485630" w:rsidP="00485630">
      <w:pPr>
        <w:rPr>
          <w:b/>
          <w:sz w:val="26"/>
          <w:szCs w:val="20"/>
        </w:rPr>
      </w:pPr>
    </w:p>
    <w:p w14:paraId="3BB2A309" w14:textId="77777777" w:rsidR="00485630" w:rsidRDefault="00485630" w:rsidP="00485630">
      <w:pPr>
        <w:rPr>
          <w:b/>
          <w:sz w:val="26"/>
          <w:szCs w:val="20"/>
        </w:rPr>
      </w:pPr>
    </w:p>
    <w:p w14:paraId="4F25605E" w14:textId="77777777" w:rsidR="00485630" w:rsidRDefault="00485630" w:rsidP="00485630">
      <w:pPr>
        <w:rPr>
          <w:b/>
          <w:sz w:val="26"/>
          <w:szCs w:val="20"/>
        </w:rPr>
      </w:pPr>
    </w:p>
    <w:p w14:paraId="67EED6A7" w14:textId="77777777" w:rsidR="00485630" w:rsidRDefault="00485630" w:rsidP="00485630">
      <w:pPr>
        <w:rPr>
          <w:b/>
          <w:sz w:val="26"/>
          <w:szCs w:val="20"/>
        </w:rPr>
      </w:pPr>
    </w:p>
    <w:p w14:paraId="50ADC312" w14:textId="77777777" w:rsidR="00485630" w:rsidRDefault="00485630" w:rsidP="00485630">
      <w:pPr>
        <w:rPr>
          <w:b/>
          <w:sz w:val="26"/>
          <w:szCs w:val="20"/>
        </w:rPr>
      </w:pPr>
    </w:p>
    <w:p w14:paraId="352173CA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Исп. К.М. Асташкина</w:t>
      </w:r>
    </w:p>
    <w:p w14:paraId="5F63D596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тел. 395-84-34</w:t>
      </w:r>
    </w:p>
    <w:p w14:paraId="1405C718" w14:textId="77777777" w:rsidR="00485630" w:rsidRPr="002D745F" w:rsidRDefault="00485630" w:rsidP="00485630">
      <w:pPr>
        <w:rPr>
          <w:b/>
          <w:sz w:val="22"/>
          <w:szCs w:val="22"/>
        </w:rPr>
      </w:pPr>
    </w:p>
    <w:p w14:paraId="3CB390E7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Рассылка:</w:t>
      </w:r>
    </w:p>
    <w:p w14:paraId="4FCAB5B3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4 экз. – в дело</w:t>
      </w:r>
    </w:p>
    <w:p w14:paraId="2EA96E51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1 экз. – Управление городского хозяйства</w:t>
      </w:r>
    </w:p>
    <w:p w14:paraId="34F9EE8C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1экз. – Управление финансов</w:t>
      </w:r>
    </w:p>
    <w:p w14:paraId="73413185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1 экз. – Управление потребительского рынка, транспорта и связи</w:t>
      </w:r>
    </w:p>
    <w:p w14:paraId="2715B228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1экз. – МКУ «Городское строительство»</w:t>
      </w:r>
    </w:p>
    <w:p w14:paraId="06605F4F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lastRenderedPageBreak/>
        <w:t>1 экз. – МАУ «Благоустройство»</w:t>
      </w:r>
    </w:p>
    <w:p w14:paraId="3A3504B5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1экз. – отдел по взаимодействию со средствами массовой информации</w:t>
      </w:r>
    </w:p>
    <w:p w14:paraId="1F0277A3" w14:textId="77777777" w:rsidR="00485630" w:rsidRPr="002D745F" w:rsidRDefault="00485630" w:rsidP="00485630">
      <w:pPr>
        <w:jc w:val="both"/>
        <w:rPr>
          <w:sz w:val="22"/>
          <w:szCs w:val="22"/>
        </w:rPr>
      </w:pPr>
      <w:r w:rsidRPr="002D745F">
        <w:rPr>
          <w:sz w:val="22"/>
          <w:szCs w:val="22"/>
        </w:rPr>
        <w:t>1 экз. – отдел экономической политики</w:t>
      </w:r>
    </w:p>
    <w:p w14:paraId="3CB46090" w14:textId="77777777" w:rsidR="00485630" w:rsidRPr="002D745F" w:rsidRDefault="00485630" w:rsidP="00485630">
      <w:pPr>
        <w:suppressAutoHyphens w:val="0"/>
        <w:rPr>
          <w:sz w:val="22"/>
          <w:szCs w:val="22"/>
        </w:rPr>
        <w:sectPr w:rsidR="00485630" w:rsidRPr="002D745F">
          <w:pgSz w:w="11906" w:h="16838"/>
          <w:pgMar w:top="567" w:right="680" w:bottom="1134" w:left="1440" w:header="720" w:footer="720" w:gutter="0"/>
          <w:cols w:space="720"/>
        </w:sectPr>
      </w:pPr>
    </w:p>
    <w:p w14:paraId="6EE93E90" w14:textId="77777777" w:rsidR="00485630" w:rsidRDefault="00485630" w:rsidP="00485630">
      <w:pPr>
        <w:widowControl w:val="0"/>
        <w:autoSpaceDE w:val="0"/>
        <w:ind w:right="-739"/>
        <w:jc w:val="right"/>
        <w:rPr>
          <w:sz w:val="26"/>
          <w:szCs w:val="26"/>
        </w:rPr>
      </w:pPr>
    </w:p>
    <w:p w14:paraId="05121ABE" w14:textId="77777777" w:rsidR="00485630" w:rsidRPr="00B851D7" w:rsidRDefault="00485630" w:rsidP="00485630">
      <w:pPr>
        <w:widowControl w:val="0"/>
        <w:autoSpaceDE w:val="0"/>
        <w:ind w:right="-739"/>
        <w:jc w:val="right"/>
        <w:rPr>
          <w:sz w:val="26"/>
          <w:szCs w:val="26"/>
        </w:rPr>
      </w:pPr>
      <w:r w:rsidRPr="00B851D7">
        <w:rPr>
          <w:sz w:val="26"/>
          <w:szCs w:val="26"/>
        </w:rPr>
        <w:t xml:space="preserve">Приложение № 1 </w:t>
      </w:r>
    </w:p>
    <w:p w14:paraId="2298AB64" w14:textId="77777777" w:rsidR="00485630" w:rsidRPr="00B851D7" w:rsidRDefault="00485630" w:rsidP="00485630">
      <w:pPr>
        <w:widowControl w:val="0"/>
        <w:autoSpaceDE w:val="0"/>
        <w:ind w:right="-739"/>
        <w:jc w:val="right"/>
        <w:rPr>
          <w:sz w:val="26"/>
          <w:szCs w:val="26"/>
        </w:rPr>
      </w:pPr>
      <w:r w:rsidRPr="00B851D7">
        <w:rPr>
          <w:sz w:val="26"/>
          <w:szCs w:val="26"/>
        </w:rPr>
        <w:t xml:space="preserve">к постановлению Администрации города Обнинска </w:t>
      </w:r>
    </w:p>
    <w:p w14:paraId="55F3CFED" w14:textId="77777777" w:rsidR="00485630" w:rsidRPr="00B851D7" w:rsidRDefault="00485630" w:rsidP="00485630">
      <w:pPr>
        <w:widowControl w:val="0"/>
        <w:autoSpaceDE w:val="0"/>
        <w:ind w:right="-739"/>
        <w:jc w:val="right"/>
        <w:rPr>
          <w:sz w:val="26"/>
          <w:szCs w:val="26"/>
        </w:rPr>
      </w:pPr>
      <w:r w:rsidRPr="00B851D7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2227-п </w:t>
      </w:r>
      <w:r w:rsidRPr="00B851D7">
        <w:rPr>
          <w:sz w:val="26"/>
          <w:szCs w:val="26"/>
        </w:rPr>
        <w:t xml:space="preserve">от </w:t>
      </w:r>
      <w:r>
        <w:rPr>
          <w:sz w:val="26"/>
          <w:szCs w:val="26"/>
        </w:rPr>
        <w:t>31.07.2024</w:t>
      </w:r>
    </w:p>
    <w:p w14:paraId="057CA492" w14:textId="77777777" w:rsidR="00485630" w:rsidRPr="00B851D7" w:rsidRDefault="00485630" w:rsidP="00485630">
      <w:pPr>
        <w:widowControl w:val="0"/>
        <w:autoSpaceDE w:val="0"/>
        <w:ind w:left="10635" w:firstLine="709"/>
        <w:jc w:val="right"/>
        <w:rPr>
          <w:sz w:val="26"/>
          <w:szCs w:val="26"/>
        </w:rPr>
      </w:pPr>
    </w:p>
    <w:p w14:paraId="19C236FB" w14:textId="77777777" w:rsidR="00485630" w:rsidRDefault="00485630" w:rsidP="00485630">
      <w:pPr>
        <w:widowControl w:val="0"/>
        <w:autoSpaceDE w:val="0"/>
        <w:rPr>
          <w:b/>
          <w:sz w:val="26"/>
          <w:szCs w:val="26"/>
        </w:rPr>
      </w:pPr>
    </w:p>
    <w:p w14:paraId="4AC3E8AA" w14:textId="77777777" w:rsidR="00485630" w:rsidRDefault="00485630" w:rsidP="00485630">
      <w:pPr>
        <w:widowControl w:val="0"/>
        <w:autoSpaceDE w:val="0"/>
        <w:rPr>
          <w:b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3596"/>
        <w:gridCol w:w="978"/>
        <w:gridCol w:w="845"/>
        <w:gridCol w:w="986"/>
        <w:gridCol w:w="2094"/>
        <w:gridCol w:w="1237"/>
        <w:gridCol w:w="1237"/>
        <w:gridCol w:w="1237"/>
        <w:gridCol w:w="1237"/>
        <w:gridCol w:w="1237"/>
      </w:tblGrid>
      <w:tr w:rsidR="00485630" w:rsidRPr="00B851D7" w14:paraId="25F8BDD4" w14:textId="77777777" w:rsidTr="00BD71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A569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9D51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DCAD" w14:textId="77777777" w:rsidR="00485630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8" w:right="-28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Весовой </w:t>
            </w:r>
            <w:proofErr w:type="spellStart"/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>коэффи</w:t>
            </w:r>
            <w:proofErr w:type="spellEnd"/>
          </w:p>
          <w:p w14:paraId="6EACD826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8" w:right="-28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>ент</w:t>
            </w:r>
            <w:proofErr w:type="spellEnd"/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1B0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7A56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2842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56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Источники финансирования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3EDA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Годы реализации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E0A0" w14:textId="77777777" w:rsidR="00485630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37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B851D7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Итого по </w:t>
            </w:r>
          </w:p>
          <w:p w14:paraId="182A3324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37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B851D7">
              <w:rPr>
                <w:rFonts w:eastAsiaTheme="minorHAnsi"/>
                <w:bCs/>
                <w:sz w:val="23"/>
                <w:szCs w:val="23"/>
                <w:lang w:eastAsia="en-US"/>
              </w:rPr>
              <w:t>2-му этапу программы</w:t>
            </w:r>
          </w:p>
        </w:tc>
      </w:tr>
      <w:tr w:rsidR="00485630" w:rsidRPr="00B851D7" w14:paraId="419F872A" w14:textId="77777777" w:rsidTr="00BD7116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2802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C533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DB4B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94B4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89AB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3B84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FAF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2021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930E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2022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3D1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FC90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2024 год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E10C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485630" w:rsidRPr="00B851D7" w14:paraId="53A4D72A" w14:textId="77777777" w:rsidTr="00BD7116">
        <w:trPr>
          <w:trHeight w:val="75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12F33" w14:textId="77777777" w:rsidR="00485630" w:rsidRPr="00B851D7" w:rsidRDefault="00485630" w:rsidP="00BD7116">
            <w:pPr>
              <w:suppressAutoHyphens w:val="0"/>
              <w:spacing w:line="256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3.5.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C824E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Мероприятие 5.</w:t>
            </w:r>
          </w:p>
          <w:p w14:paraId="682FCED0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Комплексное благоустройство общественных территорий, прилегающих к нежилым зданиям №№ 2, 6, 8 по ул. Комарова и № 15 по ул. Королёва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DF1A9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C89AE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AB54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тыс. </w:t>
            </w:r>
            <w:proofErr w:type="spellStart"/>
            <w:r w:rsidRPr="00B851D7">
              <w:rPr>
                <w:rFonts w:eastAsiaTheme="minorHAnsi"/>
                <w:bCs/>
                <w:lang w:eastAsia="en-US"/>
              </w:rPr>
              <w:t>руб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8D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BB61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69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32E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404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16951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4228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16951</w:t>
            </w:r>
          </w:p>
        </w:tc>
      </w:tr>
      <w:tr w:rsidR="00485630" w:rsidRPr="00B851D7" w14:paraId="6D287A32" w14:textId="77777777" w:rsidTr="00BD7116">
        <w:trPr>
          <w:trHeight w:val="62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F4FE7" w14:textId="77777777" w:rsidR="00485630" w:rsidRPr="00B851D7" w:rsidRDefault="00485630" w:rsidP="00BD7116">
            <w:pPr>
              <w:suppressAutoHyphens w:val="0"/>
              <w:spacing w:line="256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578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C81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FEBE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EDA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D9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Областной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2CC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FE2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276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E87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16951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0E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16951</w:t>
            </w:r>
          </w:p>
        </w:tc>
      </w:tr>
      <w:tr w:rsidR="00485630" w:rsidRPr="00B851D7" w14:paraId="4C5A5D69" w14:textId="77777777" w:rsidTr="00BD7116">
        <w:trPr>
          <w:trHeight w:val="1490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F8D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779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Индикатор 1. </w:t>
            </w:r>
          </w:p>
          <w:p w14:paraId="7E6CD8D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Площадь благоустроенной территории, прилегающей к нежилым зданиям №№ 2, 6, 8 по ул. Комарова и № 15 по ул. Королёва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10F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026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129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кв. 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3F1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2A6C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ADA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12E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A8CF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3DB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800</w:t>
            </w:r>
          </w:p>
        </w:tc>
      </w:tr>
      <w:tr w:rsidR="00485630" w:rsidRPr="00B851D7" w14:paraId="54D9F4D7" w14:textId="77777777" w:rsidTr="00BD7116">
        <w:trPr>
          <w:trHeight w:val="149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1B7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5AE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Индикатор 2. </w:t>
            </w:r>
          </w:p>
          <w:p w14:paraId="7B34956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937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0D4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AA7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шт.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93F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B4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91B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A6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00A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4EF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</w:t>
            </w:r>
          </w:p>
        </w:tc>
      </w:tr>
    </w:tbl>
    <w:p w14:paraId="4892CB39" w14:textId="77777777" w:rsidR="00485630" w:rsidRDefault="00485630" w:rsidP="00485630">
      <w:pPr>
        <w:widowControl w:val="0"/>
        <w:autoSpaceDE w:val="0"/>
        <w:ind w:right="-739"/>
        <w:jc w:val="right"/>
        <w:rPr>
          <w:sz w:val="26"/>
          <w:szCs w:val="26"/>
        </w:rPr>
      </w:pPr>
    </w:p>
    <w:p w14:paraId="428B31DC" w14:textId="77777777" w:rsidR="00485630" w:rsidRPr="00B851D7" w:rsidRDefault="00485630" w:rsidP="00485630">
      <w:pPr>
        <w:widowControl w:val="0"/>
        <w:autoSpaceDE w:val="0"/>
        <w:ind w:right="-739"/>
        <w:jc w:val="right"/>
        <w:rPr>
          <w:sz w:val="26"/>
          <w:szCs w:val="26"/>
        </w:rPr>
      </w:pPr>
      <w:r w:rsidRPr="00B851D7">
        <w:rPr>
          <w:sz w:val="26"/>
          <w:szCs w:val="26"/>
        </w:rPr>
        <w:t xml:space="preserve">Приложение № 2 </w:t>
      </w:r>
    </w:p>
    <w:p w14:paraId="71048AD4" w14:textId="77777777" w:rsidR="00485630" w:rsidRPr="00B851D7" w:rsidRDefault="00485630" w:rsidP="00485630">
      <w:pPr>
        <w:widowControl w:val="0"/>
        <w:autoSpaceDE w:val="0"/>
        <w:ind w:right="-739"/>
        <w:jc w:val="right"/>
        <w:rPr>
          <w:sz w:val="26"/>
          <w:szCs w:val="26"/>
        </w:rPr>
      </w:pPr>
      <w:r w:rsidRPr="00B851D7">
        <w:rPr>
          <w:sz w:val="26"/>
          <w:szCs w:val="26"/>
        </w:rPr>
        <w:t xml:space="preserve">к постановлению Администрации города Обнинска </w:t>
      </w:r>
    </w:p>
    <w:p w14:paraId="564ED2E9" w14:textId="77777777" w:rsidR="00485630" w:rsidRPr="00B851D7" w:rsidRDefault="00485630" w:rsidP="00485630">
      <w:pPr>
        <w:widowControl w:val="0"/>
        <w:autoSpaceDE w:val="0"/>
        <w:ind w:right="-739"/>
        <w:jc w:val="right"/>
      </w:pPr>
      <w:r w:rsidRPr="00B851D7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2227-п </w:t>
      </w:r>
      <w:r w:rsidRPr="00B851D7">
        <w:rPr>
          <w:sz w:val="26"/>
          <w:szCs w:val="26"/>
        </w:rPr>
        <w:t xml:space="preserve">от </w:t>
      </w:r>
      <w:r>
        <w:rPr>
          <w:sz w:val="26"/>
          <w:szCs w:val="26"/>
        </w:rPr>
        <w:t>31.07.2024</w:t>
      </w:r>
    </w:p>
    <w:p w14:paraId="28FE2411" w14:textId="77777777" w:rsidR="00485630" w:rsidRPr="00B851D7" w:rsidRDefault="00485630" w:rsidP="00485630">
      <w:pPr>
        <w:widowControl w:val="0"/>
        <w:autoSpaceDE w:val="0"/>
        <w:ind w:left="10635" w:firstLine="709"/>
        <w:jc w:val="right"/>
      </w:pPr>
    </w:p>
    <w:p w14:paraId="38BA5779" w14:textId="77777777" w:rsidR="00485630" w:rsidRPr="00B851D7" w:rsidRDefault="00485630" w:rsidP="00485630"/>
    <w:tbl>
      <w:tblPr>
        <w:tblpPr w:leftFromText="180" w:rightFromText="180" w:bottomFromText="160" w:vertAnchor="text" w:tblpY="1"/>
        <w:tblOverlap w:val="never"/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627"/>
        <w:gridCol w:w="986"/>
        <w:gridCol w:w="851"/>
        <w:gridCol w:w="994"/>
        <w:gridCol w:w="2112"/>
        <w:gridCol w:w="1128"/>
        <w:gridCol w:w="1191"/>
        <w:gridCol w:w="1191"/>
        <w:gridCol w:w="1217"/>
        <w:gridCol w:w="1384"/>
      </w:tblGrid>
      <w:tr w:rsidR="00485630" w:rsidRPr="00B851D7" w14:paraId="0BCF5E72" w14:textId="77777777" w:rsidTr="00BD7116">
        <w:trPr>
          <w:trHeight w:val="62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8BE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E6C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033" w14:textId="77777777" w:rsidR="00485630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8" w:right="-28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Весовой </w:t>
            </w:r>
            <w:proofErr w:type="spellStart"/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>коэффи</w:t>
            </w:r>
            <w:proofErr w:type="spellEnd"/>
          </w:p>
          <w:p w14:paraId="2A85B2DC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8" w:right="-28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>ент</w:t>
            </w:r>
            <w:proofErr w:type="spellEnd"/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EF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B2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851D7">
              <w:rPr>
                <w:rFonts w:eastAsiaTheme="minorHAnsi"/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9F6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56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Источники финансирования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08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Годы реализации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034" w14:textId="77777777" w:rsidR="00485630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37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B851D7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Итого по </w:t>
            </w:r>
          </w:p>
          <w:p w14:paraId="6AA6607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37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B851D7">
              <w:rPr>
                <w:rFonts w:eastAsiaTheme="minorHAnsi"/>
                <w:bCs/>
                <w:sz w:val="23"/>
                <w:szCs w:val="23"/>
                <w:lang w:eastAsia="en-US"/>
              </w:rPr>
              <w:t>2-му этапу программы</w:t>
            </w:r>
          </w:p>
        </w:tc>
      </w:tr>
      <w:tr w:rsidR="00485630" w:rsidRPr="00B851D7" w14:paraId="1A0244D9" w14:textId="77777777" w:rsidTr="00BD7116">
        <w:trPr>
          <w:trHeight w:val="620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6EB25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7B8F7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C35C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5BEB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1026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CC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4C9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2021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5BF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2022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01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2023 год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29FA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2024 год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323D4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</w:tr>
      <w:tr w:rsidR="00485630" w:rsidRPr="00B851D7" w14:paraId="17605FB2" w14:textId="77777777" w:rsidTr="00BD7116">
        <w:trPr>
          <w:trHeight w:val="62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80196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3.6.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1BFA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Мероприятие 6.</w:t>
            </w:r>
          </w:p>
          <w:p w14:paraId="4621E2D9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Благоустройство общественной территории парка «Усадьба </w:t>
            </w:r>
            <w:proofErr w:type="spellStart"/>
            <w:r w:rsidRPr="00B851D7">
              <w:rPr>
                <w:rFonts w:eastAsiaTheme="minorHAnsi"/>
                <w:bCs/>
                <w:lang w:eastAsia="en-US"/>
              </w:rPr>
              <w:t>Белкино</w:t>
            </w:r>
            <w:proofErr w:type="spellEnd"/>
            <w:r w:rsidRPr="00B851D7"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8ABB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EF0F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FF79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тыс. </w:t>
            </w:r>
            <w:proofErr w:type="spellStart"/>
            <w:r w:rsidRPr="00B851D7">
              <w:rPr>
                <w:rFonts w:eastAsiaTheme="minorHAnsi"/>
                <w:bCs/>
                <w:lang w:eastAsia="en-US"/>
              </w:rPr>
              <w:t>руб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7FA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C86CB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BCC79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016A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2A0B8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8049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A3B0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8049</w:t>
            </w:r>
          </w:p>
        </w:tc>
      </w:tr>
      <w:tr w:rsidR="00485630" w:rsidRPr="00B851D7" w14:paraId="135B2C14" w14:textId="77777777" w:rsidTr="00BD7116">
        <w:trPr>
          <w:trHeight w:val="620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3F173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50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7941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208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AA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85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Областной бюджет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E27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FE0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8D2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EF7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C8E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</w:tr>
      <w:tr w:rsidR="00485630" w:rsidRPr="00B851D7" w14:paraId="5E3B0E53" w14:textId="77777777" w:rsidTr="00BD7116">
        <w:trPr>
          <w:trHeight w:val="620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B809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0A9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Индикатор 1. </w:t>
            </w:r>
          </w:p>
          <w:p w14:paraId="07235080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Площадь благоустроенной территории парка «Усадьба </w:t>
            </w:r>
            <w:proofErr w:type="spellStart"/>
            <w:r w:rsidRPr="00B851D7">
              <w:rPr>
                <w:rFonts w:eastAsiaTheme="minorHAnsi"/>
                <w:bCs/>
                <w:lang w:eastAsia="en-US"/>
              </w:rPr>
              <w:t>Белкино</w:t>
            </w:r>
            <w:proofErr w:type="spellEnd"/>
            <w:r w:rsidRPr="00B851D7"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E74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B9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B61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proofErr w:type="spellStart"/>
            <w:proofErr w:type="gramStart"/>
            <w:r w:rsidRPr="00B851D7">
              <w:rPr>
                <w:rFonts w:eastAsiaTheme="minorHAnsi"/>
                <w:bCs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BD3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158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990D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59C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B070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724F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100</w:t>
            </w:r>
          </w:p>
        </w:tc>
      </w:tr>
      <w:tr w:rsidR="00485630" w:rsidRPr="00B851D7" w14:paraId="4EE8D299" w14:textId="77777777" w:rsidTr="00BD7116">
        <w:trPr>
          <w:trHeight w:val="620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6E3" w14:textId="77777777" w:rsidR="00485630" w:rsidRPr="00B851D7" w:rsidRDefault="00485630" w:rsidP="00BD7116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90C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Индикатор 2. </w:t>
            </w:r>
          </w:p>
          <w:p w14:paraId="18377F3F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E38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4502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68C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шт.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668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3E8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DC5A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FEC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F31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5F5" w14:textId="77777777" w:rsidR="00485630" w:rsidRPr="00B851D7" w:rsidRDefault="00485630" w:rsidP="00BD7116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</w:t>
            </w:r>
          </w:p>
        </w:tc>
      </w:tr>
    </w:tbl>
    <w:p w14:paraId="54E41312" w14:textId="77777777" w:rsidR="00485630" w:rsidRDefault="00485630" w:rsidP="00485630"/>
    <w:p w14:paraId="4CBC6B10" w14:textId="77777777" w:rsidR="00485630" w:rsidRDefault="00485630" w:rsidP="00485630"/>
    <w:p w14:paraId="73641043" w14:textId="77777777" w:rsidR="00485630" w:rsidRDefault="00485630" w:rsidP="00485630"/>
    <w:p w14:paraId="54B9AF4F" w14:textId="77777777" w:rsidR="0090487C" w:rsidRDefault="0090487C"/>
    <w:sectPr w:rsidR="0090487C" w:rsidSect="00062063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30"/>
    <w:rsid w:val="00485630"/>
    <w:rsid w:val="0090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7350"/>
  <w15:chartTrackingRefBased/>
  <w15:docId w15:val="{35E69903-B6A9-44D5-9A10-7B6F5AC8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2024-08-01T20:01:00Z</dcterms:created>
  <dcterms:modified xsi:type="dcterms:W3CDTF">2024-08-01T20:02:00Z</dcterms:modified>
</cp:coreProperties>
</file>